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20" w:rsidRDefault="00583D20" w:rsidP="00583D20">
      <w:pPr>
        <w:spacing w:before="1800" w:after="900" w:line="570" w:lineRule="atLeast"/>
        <w:jc w:val="center"/>
        <w:outlineLvl w:val="0"/>
        <w:rPr>
          <w:rFonts w:ascii="Comic Sans MS" w:eastAsia="Times New Roman" w:hAnsi="Comic Sans MS" w:cs="Times New Roman"/>
          <w:b/>
          <w:bCs/>
          <w:color w:val="000000"/>
          <w:sz w:val="27"/>
          <w:szCs w:val="27"/>
          <w:lang w:eastAsia="el-GR"/>
        </w:rPr>
      </w:pPr>
      <w:r w:rsidRPr="00583D20">
        <w:rPr>
          <w:rFonts w:ascii="Comic Sans MS" w:eastAsia="Times New Roman" w:hAnsi="Comic Sans MS" w:cs="Times New Roman"/>
          <w:b/>
          <w:bCs/>
          <w:kern w:val="36"/>
          <w:sz w:val="45"/>
          <w:szCs w:val="45"/>
          <w:lang w:eastAsia="el-GR"/>
        </w:rPr>
        <w:t>Οστεοπόρωση</w:t>
      </w:r>
    </w:p>
    <w:p w:rsidR="00583D20" w:rsidRDefault="00583D20" w:rsidP="00583D20">
      <w:pPr>
        <w:spacing w:before="1800" w:after="900" w:line="570" w:lineRule="atLeast"/>
        <w:outlineLvl w:val="0"/>
        <w:rPr>
          <w:rFonts w:ascii="Comic Sans MS" w:eastAsia="Times New Roman" w:hAnsi="Comic Sans MS" w:cs="Times New Roman"/>
          <w:b/>
          <w:bCs/>
          <w:color w:val="000000"/>
          <w:sz w:val="36"/>
          <w:szCs w:val="36"/>
          <w:lang w:eastAsia="el-GR"/>
        </w:rPr>
      </w:pPr>
      <w:r w:rsidRPr="00583D20">
        <w:rPr>
          <w:rFonts w:ascii="Comic Sans MS" w:eastAsia="Times New Roman" w:hAnsi="Comic Sans MS" w:cs="Times New Roman"/>
          <w:b/>
          <w:bCs/>
          <w:color w:val="000000"/>
          <w:sz w:val="36"/>
          <w:szCs w:val="36"/>
          <w:lang w:eastAsia="el-GR"/>
        </w:rPr>
        <w:t>Τι είναι</w:t>
      </w:r>
    </w:p>
    <w:p w:rsidR="00583D20" w:rsidRPr="00583D20" w:rsidRDefault="00583D20" w:rsidP="00583D20">
      <w:pPr>
        <w:spacing w:after="150" w:line="450" w:lineRule="atLeast"/>
        <w:outlineLvl w:val="1"/>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Η οστεοπόρωση είναι μία από τις πιο συχνές παθήσεις των οστών. Μία στις τρεις γυναίκες μετά την  εμμηνόπαυση και ένας στους πέντε άντρες άνω των 50 ετών πάσχουν από οστεοπόρωση.</w:t>
      </w:r>
    </w:p>
    <w:p w:rsidR="00583D20" w:rsidRPr="00583D20" w:rsidRDefault="00583D20" w:rsidP="00583D20">
      <w:p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Τα οστά έχουν την ικανότητα προσαρμογής του σχήματος και του μεγέθους τους, ανταποκρινόμενα στο μέγεθος και το είδος των  μηχανικών φορτίων που δέχονται.</w:t>
      </w:r>
    </w:p>
    <w:p w:rsidR="00583D20" w:rsidRPr="00583D20" w:rsidRDefault="00583D20" w:rsidP="00583D20">
      <w:p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 xml:space="preserve">Ωστόσο, στην περίπτωση των </w:t>
      </w:r>
      <w:proofErr w:type="spellStart"/>
      <w:r w:rsidRPr="00583D20">
        <w:rPr>
          <w:rFonts w:ascii="Comic Sans MS" w:eastAsia="Times New Roman" w:hAnsi="Comic Sans MS" w:cs="Times New Roman"/>
          <w:color w:val="000000"/>
          <w:sz w:val="23"/>
          <w:szCs w:val="23"/>
          <w:lang w:eastAsia="el-GR"/>
        </w:rPr>
        <w:t>οστεοπορωτικών</w:t>
      </w:r>
      <w:proofErr w:type="spellEnd"/>
      <w:r w:rsidRPr="00583D20">
        <w:rPr>
          <w:rFonts w:ascii="Comic Sans MS" w:eastAsia="Times New Roman" w:hAnsi="Comic Sans MS" w:cs="Times New Roman"/>
          <w:color w:val="000000"/>
          <w:sz w:val="23"/>
          <w:szCs w:val="23"/>
          <w:lang w:eastAsia="el-GR"/>
        </w:rPr>
        <w:t xml:space="preserve"> ασθενών παρατηρούνται μειωμένη οστική μάζα και διαταραχές στην αρχιτεκτονική της δομής των οστών που αυξάνει την επικινδυνότητα για κάταγμα.</w:t>
      </w:r>
    </w:p>
    <w:p w:rsidR="00583D20" w:rsidRPr="00583D20" w:rsidRDefault="00583D20" w:rsidP="00583D20">
      <w:p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 xml:space="preserve">Τα κατάγματα έχουν σημαντική επίπτωση στην ποιότητα ζωής και μειώνουν το προσδόκιμο επιβίωσης των </w:t>
      </w:r>
      <w:proofErr w:type="spellStart"/>
      <w:r w:rsidRPr="00583D20">
        <w:rPr>
          <w:rFonts w:ascii="Comic Sans MS" w:eastAsia="Times New Roman" w:hAnsi="Comic Sans MS" w:cs="Times New Roman"/>
          <w:color w:val="000000"/>
          <w:sz w:val="23"/>
          <w:szCs w:val="23"/>
          <w:lang w:eastAsia="el-GR"/>
        </w:rPr>
        <w:t>οστεοπορωτικών</w:t>
      </w:r>
      <w:proofErr w:type="spellEnd"/>
      <w:r w:rsidRPr="00583D20">
        <w:rPr>
          <w:rFonts w:ascii="Comic Sans MS" w:eastAsia="Times New Roman" w:hAnsi="Comic Sans MS" w:cs="Times New Roman"/>
          <w:color w:val="000000"/>
          <w:sz w:val="23"/>
          <w:szCs w:val="23"/>
          <w:lang w:eastAsia="el-GR"/>
        </w:rPr>
        <w:t xml:space="preserve"> ασθενών.</w:t>
      </w:r>
    </w:p>
    <w:p w:rsidR="00583D20" w:rsidRPr="00583D20" w:rsidRDefault="00583D20" w:rsidP="00583D20">
      <w:pPr>
        <w:spacing w:after="150" w:line="450" w:lineRule="atLeast"/>
        <w:outlineLvl w:val="2"/>
        <w:rPr>
          <w:rFonts w:ascii="Comic Sans MS" w:eastAsia="Times New Roman" w:hAnsi="Comic Sans MS" w:cs="Times New Roman"/>
          <w:b/>
          <w:bCs/>
          <w:color w:val="000000"/>
          <w:sz w:val="27"/>
          <w:szCs w:val="27"/>
          <w:lang w:eastAsia="el-GR"/>
        </w:rPr>
      </w:pPr>
      <w:r w:rsidRPr="00583D20">
        <w:rPr>
          <w:rFonts w:ascii="Comic Sans MS" w:eastAsia="Times New Roman" w:hAnsi="Comic Sans MS" w:cs="Times New Roman"/>
          <w:b/>
          <w:bCs/>
          <w:color w:val="000000"/>
          <w:sz w:val="27"/>
          <w:szCs w:val="27"/>
          <w:lang w:eastAsia="el-GR"/>
        </w:rPr>
        <w:t>Ποιες είναι οι μορφές οστεοπόρωσης;</w:t>
      </w:r>
    </w:p>
    <w:p w:rsidR="00583D20" w:rsidRPr="00583D20" w:rsidRDefault="00583D20" w:rsidP="00583D20">
      <w:p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Η οστεοπόρωση διακρίνεται στην πρωτοπαθή οστεοπόρωση , σχετιζόμενη με την εμμηνόπαυση ή την πάροδο της ηλικίας, και στην δευτεροπαθή οστεοπόρωση.</w:t>
      </w:r>
    </w:p>
    <w:p w:rsidR="00583D20" w:rsidRPr="00583D20" w:rsidRDefault="00583D20" w:rsidP="00583D20">
      <w:p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lastRenderedPageBreak/>
        <w:t xml:space="preserve">Η πιο συχνή μορφή είναι η </w:t>
      </w:r>
      <w:proofErr w:type="spellStart"/>
      <w:r w:rsidRPr="00583D20">
        <w:rPr>
          <w:rFonts w:ascii="Comic Sans MS" w:eastAsia="Times New Roman" w:hAnsi="Comic Sans MS" w:cs="Times New Roman"/>
          <w:color w:val="000000"/>
          <w:sz w:val="23"/>
          <w:szCs w:val="23"/>
          <w:lang w:eastAsia="el-GR"/>
        </w:rPr>
        <w:t>μετεμμηνοπαυσιακή</w:t>
      </w:r>
      <w:proofErr w:type="spellEnd"/>
      <w:r w:rsidRPr="00583D20">
        <w:rPr>
          <w:rFonts w:ascii="Comic Sans MS" w:eastAsia="Times New Roman" w:hAnsi="Comic Sans MS" w:cs="Times New Roman"/>
          <w:color w:val="000000"/>
          <w:sz w:val="23"/>
          <w:szCs w:val="23"/>
          <w:lang w:eastAsia="el-GR"/>
        </w:rPr>
        <w:t>, η οποία εμφανίζεται σε γυναίκες την περίοδο της εμμηνόπαυσης και είναι αλληλένδετη με την μείωση οιστρογόνων.</w:t>
      </w:r>
    </w:p>
    <w:p w:rsidR="00583D20" w:rsidRPr="00583D20" w:rsidRDefault="00583D20" w:rsidP="00583D20">
      <w:p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Η οστεοπόρωση των ηλικιωμένων εμφανίζεται μετά τα 70 και μπορεί να επηρεάσει και τα δύο φύλα.</w:t>
      </w:r>
    </w:p>
    <w:p w:rsidR="00583D20" w:rsidRPr="00583D20" w:rsidRDefault="00583D20" w:rsidP="00583D20">
      <w:p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Η δευτεροπαθής οστεοπόρωση εμφανίζεται είτε σε ασθενείς με συγκεκριμένες παθήσεις (π.χ. ρευματοειδής αρθρίτιδα) είτε σε ασθενείς που λαμβάνουν φαρμακευτική αγωγή που περιλαμβάνει κορτιζόνη, αντιεπιληπτικά χάπια κ.α.</w:t>
      </w:r>
    </w:p>
    <w:p w:rsidR="00583D20" w:rsidRPr="00583D20" w:rsidRDefault="00583D20" w:rsidP="00583D20">
      <w:pPr>
        <w:spacing w:after="150" w:line="450" w:lineRule="atLeast"/>
        <w:outlineLvl w:val="2"/>
        <w:rPr>
          <w:rFonts w:ascii="Comic Sans MS" w:eastAsia="Times New Roman" w:hAnsi="Comic Sans MS" w:cs="Times New Roman"/>
          <w:b/>
          <w:bCs/>
          <w:color w:val="000000"/>
          <w:sz w:val="27"/>
          <w:szCs w:val="27"/>
          <w:lang w:eastAsia="el-GR"/>
        </w:rPr>
      </w:pPr>
      <w:r w:rsidRPr="00583D20">
        <w:rPr>
          <w:rFonts w:ascii="Comic Sans MS" w:eastAsia="Times New Roman" w:hAnsi="Comic Sans MS" w:cs="Times New Roman"/>
          <w:b/>
          <w:bCs/>
          <w:color w:val="000000"/>
          <w:sz w:val="27"/>
          <w:szCs w:val="27"/>
          <w:lang w:eastAsia="el-GR"/>
        </w:rPr>
        <w:t>Ποιοι οι παράγοντες κινδύνου για την οστεοπόρωση;</w:t>
      </w:r>
    </w:p>
    <w:p w:rsidR="00583D20" w:rsidRPr="00583D20" w:rsidRDefault="00583D20" w:rsidP="00583D20">
      <w:p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Διάφοροι παράγοντες μπορεί να επηρεάσουν την οστεοπόρωση. Αυτοί διαχωρίζονται σε παράγοντες που μπορούν να τροποποιηθούν με τις καθημερινές συνήθειες ή σε μη τροποποιήσιμους παράγοντες, όπως είναι:</w:t>
      </w:r>
    </w:p>
    <w:p w:rsidR="00583D20" w:rsidRPr="00583D20" w:rsidRDefault="00583D20" w:rsidP="00583D20">
      <w:pPr>
        <w:numPr>
          <w:ilvl w:val="0"/>
          <w:numId w:val="2"/>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Γενετικοί</w:t>
      </w:r>
    </w:p>
    <w:p w:rsidR="00583D20" w:rsidRPr="00583D20" w:rsidRDefault="00583D20" w:rsidP="00583D20">
      <w:pPr>
        <w:numPr>
          <w:ilvl w:val="0"/>
          <w:numId w:val="2"/>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Κληρονομικότητα</w:t>
      </w:r>
    </w:p>
    <w:p w:rsidR="00583D20" w:rsidRPr="00583D20" w:rsidRDefault="00583D20" w:rsidP="00583D20">
      <w:pPr>
        <w:numPr>
          <w:ilvl w:val="0"/>
          <w:numId w:val="2"/>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Ιστορικό κατάγματος</w:t>
      </w:r>
    </w:p>
    <w:p w:rsidR="00583D20" w:rsidRPr="00583D20" w:rsidRDefault="00583D20" w:rsidP="00583D20">
      <w:pPr>
        <w:numPr>
          <w:ilvl w:val="0"/>
          <w:numId w:val="2"/>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Γυναικείο φύλο</w:t>
      </w:r>
    </w:p>
    <w:p w:rsidR="00583D20" w:rsidRPr="00583D20" w:rsidRDefault="00583D20" w:rsidP="00583D20">
      <w:pPr>
        <w:numPr>
          <w:ilvl w:val="0"/>
          <w:numId w:val="2"/>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Ηλικία άνω των 50 ετών</w:t>
      </w:r>
    </w:p>
    <w:p w:rsidR="00583D20" w:rsidRPr="00583D20" w:rsidRDefault="00583D20" w:rsidP="00583D20">
      <w:pPr>
        <w:numPr>
          <w:ilvl w:val="0"/>
          <w:numId w:val="2"/>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Εμμηνόπαυση</w:t>
      </w:r>
    </w:p>
    <w:p w:rsidR="00583D20" w:rsidRPr="00583D20" w:rsidRDefault="00583D20" w:rsidP="00583D20">
      <w:pPr>
        <w:numPr>
          <w:ilvl w:val="0"/>
          <w:numId w:val="2"/>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Διάφορες παθήσεις</w:t>
      </w:r>
    </w:p>
    <w:p w:rsidR="00583D20" w:rsidRPr="00583D20" w:rsidRDefault="00583D20" w:rsidP="00583D20">
      <w:pPr>
        <w:numPr>
          <w:ilvl w:val="0"/>
          <w:numId w:val="2"/>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Συνεχής λήψη κορτιζόνης</w:t>
      </w:r>
    </w:p>
    <w:p w:rsidR="00583D20" w:rsidRPr="00583D20" w:rsidRDefault="00583D20" w:rsidP="00583D20">
      <w:pPr>
        <w:spacing w:after="150" w:line="450" w:lineRule="atLeast"/>
        <w:outlineLvl w:val="2"/>
        <w:rPr>
          <w:rFonts w:ascii="Comic Sans MS" w:eastAsia="Times New Roman" w:hAnsi="Comic Sans MS" w:cs="Times New Roman"/>
          <w:b/>
          <w:bCs/>
          <w:color w:val="000000"/>
          <w:sz w:val="27"/>
          <w:szCs w:val="27"/>
          <w:lang w:eastAsia="el-GR"/>
        </w:rPr>
      </w:pPr>
      <w:r w:rsidRPr="00583D20">
        <w:rPr>
          <w:rFonts w:ascii="Comic Sans MS" w:eastAsia="Times New Roman" w:hAnsi="Comic Sans MS" w:cs="Times New Roman"/>
          <w:b/>
          <w:bCs/>
          <w:color w:val="000000"/>
          <w:sz w:val="27"/>
          <w:szCs w:val="27"/>
          <w:lang w:eastAsia="el-GR"/>
        </w:rPr>
        <w:t>Παράγοντες που μπορούν να προσαρμοστούν:</w:t>
      </w:r>
    </w:p>
    <w:p w:rsidR="00583D20" w:rsidRPr="00583D20" w:rsidRDefault="00583D20" w:rsidP="00583D20">
      <w:pPr>
        <w:numPr>
          <w:ilvl w:val="0"/>
          <w:numId w:val="3"/>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Χαμηλή πρόσληψη ασβεστίου και βιταμίνης D μέσω της διατροφής. Οι ουσίες αυτές είναι απαραίτητες για την ανάπτυξη των οστών και την υγιή οστική μάζα</w:t>
      </w:r>
    </w:p>
    <w:p w:rsidR="00583D20" w:rsidRPr="00583D20" w:rsidRDefault="00583D20" w:rsidP="00583D20">
      <w:pPr>
        <w:numPr>
          <w:ilvl w:val="0"/>
          <w:numId w:val="3"/>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Έλλειψη σωματικής άσκησης</w:t>
      </w:r>
    </w:p>
    <w:p w:rsidR="00583D20" w:rsidRPr="00583D20" w:rsidRDefault="00583D20" w:rsidP="00583D20">
      <w:pPr>
        <w:numPr>
          <w:ilvl w:val="0"/>
          <w:numId w:val="3"/>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Χαμηλό σωματικό βάρος</w:t>
      </w:r>
    </w:p>
    <w:p w:rsidR="00583D20" w:rsidRPr="00583D20" w:rsidRDefault="00583D20" w:rsidP="00583D20">
      <w:pPr>
        <w:numPr>
          <w:ilvl w:val="0"/>
          <w:numId w:val="3"/>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lastRenderedPageBreak/>
        <w:t>Κάπνισμα</w:t>
      </w:r>
    </w:p>
    <w:p w:rsidR="00583D20" w:rsidRDefault="00583D20" w:rsidP="00583D20">
      <w:pPr>
        <w:numPr>
          <w:ilvl w:val="0"/>
          <w:numId w:val="3"/>
        </w:num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Μεγάλη κατανάλωση αλκοόλ</w:t>
      </w:r>
    </w:p>
    <w:p w:rsidR="00583D20" w:rsidRPr="00583D20" w:rsidRDefault="00583D20" w:rsidP="00583D20">
      <w:pPr>
        <w:spacing w:before="100" w:beforeAutospacing="1" w:after="100" w:afterAutospacing="1" w:line="450" w:lineRule="atLeast"/>
        <w:ind w:left="1130"/>
        <w:rPr>
          <w:rFonts w:ascii="Comic Sans MS" w:eastAsia="Times New Roman" w:hAnsi="Comic Sans MS" w:cs="Times New Roman"/>
          <w:color w:val="000000"/>
          <w:sz w:val="23"/>
          <w:szCs w:val="23"/>
          <w:lang w:eastAsia="el-GR"/>
        </w:rPr>
      </w:pPr>
    </w:p>
    <w:p w:rsidR="00583D20" w:rsidRPr="00583D20" w:rsidRDefault="00583D20" w:rsidP="00583D20">
      <w:pPr>
        <w:pStyle w:val="a3"/>
        <w:spacing w:after="150" w:line="240" w:lineRule="auto"/>
        <w:outlineLvl w:val="1"/>
        <w:rPr>
          <w:rFonts w:ascii="Comic Sans MS" w:eastAsia="Times New Roman" w:hAnsi="Comic Sans MS" w:cs="Times New Roman"/>
          <w:b/>
          <w:bCs/>
          <w:color w:val="000000"/>
          <w:sz w:val="36"/>
          <w:szCs w:val="36"/>
          <w:lang w:eastAsia="el-GR"/>
        </w:rPr>
      </w:pPr>
      <w:r w:rsidRPr="00583D20">
        <w:rPr>
          <w:rFonts w:ascii="Comic Sans MS" w:eastAsia="Times New Roman" w:hAnsi="Comic Sans MS" w:cs="Times New Roman"/>
          <w:b/>
          <w:bCs/>
          <w:color w:val="000000"/>
          <w:sz w:val="36"/>
          <w:szCs w:val="36"/>
          <w:lang w:eastAsia="el-GR"/>
        </w:rPr>
        <w:t>Οστεοπόρωσης – Συμπτώματα</w:t>
      </w:r>
    </w:p>
    <w:p w:rsidR="00583D20" w:rsidRPr="00583D20" w:rsidRDefault="00583D20" w:rsidP="00583D20">
      <w:pPr>
        <w:pStyle w:val="a3"/>
        <w:numPr>
          <w:ilvl w:val="0"/>
          <w:numId w:val="3"/>
        </w:num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 xml:space="preserve">Η οστεοπόρωση είναι μία «ύπουλη» νόσος. Η απουσία συμπτωμάτων για μεγάλο χρονικό διάστημα είναι χαρακτηριστικό της. Μπορεί να περάσουν χρόνια με συνεχή αλλοίωση της οστικής μάζας έως ότου εμφανιστεί το πρώτο σύμπτωμα που είναι το κάταγμα. Ασθενείς που έχουν υποστεί ένα </w:t>
      </w:r>
      <w:proofErr w:type="spellStart"/>
      <w:r w:rsidRPr="00583D20">
        <w:rPr>
          <w:rFonts w:ascii="Comic Sans MS" w:eastAsia="Times New Roman" w:hAnsi="Comic Sans MS" w:cs="Times New Roman"/>
          <w:color w:val="000000"/>
          <w:sz w:val="23"/>
          <w:szCs w:val="23"/>
          <w:lang w:eastAsia="el-GR"/>
        </w:rPr>
        <w:t>οστεοπορωτικό</w:t>
      </w:r>
      <w:proofErr w:type="spellEnd"/>
      <w:r w:rsidRPr="00583D20">
        <w:rPr>
          <w:rFonts w:ascii="Comic Sans MS" w:eastAsia="Times New Roman" w:hAnsi="Comic Sans MS" w:cs="Times New Roman"/>
          <w:color w:val="000000"/>
          <w:sz w:val="23"/>
          <w:szCs w:val="23"/>
          <w:lang w:eastAsia="el-GR"/>
        </w:rPr>
        <w:t xml:space="preserve"> κάταγμα έχουν αυξημένο κίνδυνο εμφάνισης ενός επόμενου  κατάγματος κατά 86%.</w:t>
      </w:r>
    </w:p>
    <w:p w:rsidR="00583D20" w:rsidRPr="00583D20" w:rsidRDefault="00583D20" w:rsidP="00583D20">
      <w:pPr>
        <w:pStyle w:val="a3"/>
        <w:numPr>
          <w:ilvl w:val="0"/>
          <w:numId w:val="3"/>
        </w:num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 xml:space="preserve">Το συντριπτικό ποσοστό των </w:t>
      </w:r>
      <w:proofErr w:type="spellStart"/>
      <w:r w:rsidRPr="00583D20">
        <w:rPr>
          <w:rFonts w:ascii="Comic Sans MS" w:eastAsia="Times New Roman" w:hAnsi="Comic Sans MS" w:cs="Times New Roman"/>
          <w:color w:val="000000"/>
          <w:sz w:val="23"/>
          <w:szCs w:val="23"/>
          <w:lang w:eastAsia="el-GR"/>
        </w:rPr>
        <w:t>οστεοπορωτικών</w:t>
      </w:r>
      <w:proofErr w:type="spellEnd"/>
      <w:r w:rsidRPr="00583D20">
        <w:rPr>
          <w:rFonts w:ascii="Comic Sans MS" w:eastAsia="Times New Roman" w:hAnsi="Comic Sans MS" w:cs="Times New Roman"/>
          <w:color w:val="000000"/>
          <w:sz w:val="23"/>
          <w:szCs w:val="23"/>
          <w:lang w:eastAsia="el-GR"/>
        </w:rPr>
        <w:t xml:space="preserve"> καταγμάτων αφορούν την σπονδυλική στήλη, την </w:t>
      </w:r>
      <w:proofErr w:type="spellStart"/>
      <w:r w:rsidRPr="00583D20">
        <w:rPr>
          <w:rFonts w:ascii="Comic Sans MS" w:eastAsia="Times New Roman" w:hAnsi="Comic Sans MS" w:cs="Times New Roman"/>
          <w:color w:val="000000"/>
          <w:sz w:val="23"/>
          <w:szCs w:val="23"/>
          <w:lang w:eastAsia="el-GR"/>
        </w:rPr>
        <w:t>πηχεοκαρπική</w:t>
      </w:r>
      <w:proofErr w:type="spellEnd"/>
      <w:r w:rsidRPr="00583D20">
        <w:rPr>
          <w:rFonts w:ascii="Comic Sans MS" w:eastAsia="Times New Roman" w:hAnsi="Comic Sans MS" w:cs="Times New Roman"/>
          <w:color w:val="000000"/>
          <w:sz w:val="23"/>
          <w:szCs w:val="23"/>
          <w:lang w:eastAsia="el-GR"/>
        </w:rPr>
        <w:t xml:space="preserve"> άρθρωση και το ισχίο. Επίσης </w:t>
      </w:r>
      <w:proofErr w:type="spellStart"/>
      <w:r w:rsidRPr="00583D20">
        <w:rPr>
          <w:rFonts w:ascii="Comic Sans MS" w:eastAsia="Times New Roman" w:hAnsi="Comic Sans MS" w:cs="Times New Roman"/>
          <w:color w:val="000000"/>
          <w:sz w:val="23"/>
          <w:szCs w:val="23"/>
          <w:lang w:eastAsia="el-GR"/>
        </w:rPr>
        <w:t>οστεοπορωτικά</w:t>
      </w:r>
      <w:proofErr w:type="spellEnd"/>
      <w:r w:rsidRPr="00583D20">
        <w:rPr>
          <w:rFonts w:ascii="Comic Sans MS" w:eastAsia="Times New Roman" w:hAnsi="Comic Sans MS" w:cs="Times New Roman"/>
          <w:color w:val="000000"/>
          <w:sz w:val="23"/>
          <w:szCs w:val="23"/>
          <w:lang w:eastAsia="el-GR"/>
        </w:rPr>
        <w:t xml:space="preserve"> κατάγματα μπορούν να εμφανιστούν σε άλλα οστά.</w:t>
      </w:r>
    </w:p>
    <w:p w:rsidR="00583D20" w:rsidRDefault="00583D20" w:rsidP="00583D20">
      <w:pPr>
        <w:pStyle w:val="a3"/>
        <w:numPr>
          <w:ilvl w:val="0"/>
          <w:numId w:val="3"/>
        </w:numPr>
        <w:spacing w:after="300" w:line="450" w:lineRule="atLeast"/>
        <w:rPr>
          <w:rFonts w:ascii="Comic Sans MS" w:eastAsia="Times New Roman" w:hAnsi="Comic Sans MS" w:cs="Times New Roman"/>
          <w:color w:val="000000"/>
          <w:sz w:val="23"/>
          <w:szCs w:val="23"/>
          <w:lang w:eastAsia="el-GR"/>
        </w:rPr>
      </w:pPr>
      <w:r w:rsidRPr="00583D20">
        <w:rPr>
          <w:rFonts w:ascii="Comic Sans MS" w:eastAsia="Times New Roman" w:hAnsi="Comic Sans MS" w:cs="Times New Roman"/>
          <w:color w:val="000000"/>
          <w:sz w:val="23"/>
          <w:szCs w:val="23"/>
          <w:lang w:eastAsia="el-GR"/>
        </w:rPr>
        <w:t>Υπάρχει περίπτωση το κάταγμα να εμφανίζεται με την ένδειξη πόνου στην μέση και χωρίς να έχει προηγηθεί κάποιο τραύμα.</w:t>
      </w:r>
    </w:p>
    <w:p w:rsidR="00583D20" w:rsidRDefault="00583D20" w:rsidP="00583D20">
      <w:pPr>
        <w:pStyle w:val="2"/>
        <w:spacing w:before="0" w:beforeAutospacing="0" w:after="150" w:afterAutospacing="0"/>
        <w:ind w:left="720"/>
        <w:rPr>
          <w:rFonts w:ascii="Comic Sans MS" w:hAnsi="Comic Sans MS"/>
          <w:color w:val="000000"/>
        </w:rPr>
      </w:pPr>
      <w:r>
        <w:rPr>
          <w:rFonts w:ascii="Comic Sans MS" w:hAnsi="Comic Sans MS"/>
          <w:color w:val="000000"/>
        </w:rPr>
        <w:t>Οστεοπόρωση – Διάγνωση</w:t>
      </w:r>
    </w:p>
    <w:p w:rsidR="00583D20" w:rsidRDefault="00583D20" w:rsidP="00583D20">
      <w:pPr>
        <w:pStyle w:val="Web"/>
        <w:numPr>
          <w:ilvl w:val="0"/>
          <w:numId w:val="3"/>
        </w:numPr>
        <w:spacing w:before="0" w:beforeAutospacing="0" w:after="300" w:afterAutospacing="0" w:line="450" w:lineRule="atLeast"/>
        <w:rPr>
          <w:rFonts w:ascii="Comic Sans MS" w:hAnsi="Comic Sans MS"/>
          <w:color w:val="000000"/>
          <w:sz w:val="23"/>
          <w:szCs w:val="23"/>
        </w:rPr>
      </w:pPr>
      <w:r>
        <w:rPr>
          <w:rFonts w:ascii="Comic Sans MS" w:hAnsi="Comic Sans MS"/>
          <w:color w:val="000000"/>
          <w:sz w:val="23"/>
          <w:szCs w:val="23"/>
        </w:rPr>
        <w:t>Η διάγνωση της οστεοπόρωσης είναι απλή και γίνεται με την μέτρηση της οστικής πυκνότητας.</w:t>
      </w:r>
    </w:p>
    <w:p w:rsidR="00583D20" w:rsidRDefault="00583D20" w:rsidP="00583D20">
      <w:pPr>
        <w:pStyle w:val="Web"/>
        <w:numPr>
          <w:ilvl w:val="0"/>
          <w:numId w:val="3"/>
        </w:numPr>
        <w:spacing w:before="0" w:beforeAutospacing="0" w:after="300" w:afterAutospacing="0" w:line="450" w:lineRule="atLeast"/>
        <w:rPr>
          <w:rFonts w:ascii="Comic Sans MS" w:hAnsi="Comic Sans MS"/>
          <w:color w:val="000000"/>
          <w:sz w:val="23"/>
          <w:szCs w:val="23"/>
        </w:rPr>
      </w:pPr>
      <w:r>
        <w:rPr>
          <w:rFonts w:ascii="Comic Sans MS" w:hAnsi="Comic Sans MS"/>
          <w:color w:val="000000"/>
          <w:sz w:val="23"/>
          <w:szCs w:val="23"/>
        </w:rPr>
        <w:t>Η οστική πυκνότητα (</w:t>
      </w:r>
      <w:proofErr w:type="spellStart"/>
      <w:r>
        <w:rPr>
          <w:rFonts w:ascii="Comic Sans MS" w:hAnsi="Comic Sans MS"/>
          <w:color w:val="000000"/>
          <w:sz w:val="23"/>
          <w:szCs w:val="23"/>
        </w:rPr>
        <w:t>bone</w:t>
      </w:r>
      <w:proofErr w:type="spellEnd"/>
      <w:r>
        <w:rPr>
          <w:rFonts w:ascii="Comic Sans MS" w:hAnsi="Comic Sans MS"/>
          <w:color w:val="000000"/>
          <w:sz w:val="23"/>
          <w:szCs w:val="23"/>
        </w:rPr>
        <w:t xml:space="preserve"> </w:t>
      </w:r>
      <w:proofErr w:type="spellStart"/>
      <w:r>
        <w:rPr>
          <w:rFonts w:ascii="Comic Sans MS" w:hAnsi="Comic Sans MS"/>
          <w:color w:val="000000"/>
          <w:sz w:val="23"/>
          <w:szCs w:val="23"/>
        </w:rPr>
        <w:t>mineral</w:t>
      </w:r>
      <w:proofErr w:type="spellEnd"/>
      <w:r>
        <w:rPr>
          <w:rFonts w:ascii="Comic Sans MS" w:hAnsi="Comic Sans MS"/>
          <w:color w:val="000000"/>
          <w:sz w:val="23"/>
          <w:szCs w:val="23"/>
        </w:rPr>
        <w:t xml:space="preserve"> </w:t>
      </w:r>
      <w:proofErr w:type="spellStart"/>
      <w:r>
        <w:rPr>
          <w:rFonts w:ascii="Comic Sans MS" w:hAnsi="Comic Sans MS"/>
          <w:color w:val="000000"/>
          <w:sz w:val="23"/>
          <w:szCs w:val="23"/>
        </w:rPr>
        <w:t>density</w:t>
      </w:r>
      <w:proofErr w:type="spellEnd"/>
      <w:r>
        <w:rPr>
          <w:rFonts w:ascii="Comic Sans MS" w:hAnsi="Comic Sans MS"/>
          <w:color w:val="000000"/>
          <w:sz w:val="23"/>
          <w:szCs w:val="23"/>
        </w:rPr>
        <w:t xml:space="preserve">-BMD, g/cm2), όπως </w:t>
      </w:r>
      <w:proofErr w:type="spellStart"/>
      <w:r>
        <w:rPr>
          <w:rFonts w:ascii="Comic Sans MS" w:hAnsi="Comic Sans MS"/>
          <w:color w:val="000000"/>
          <w:sz w:val="23"/>
          <w:szCs w:val="23"/>
        </w:rPr>
        <w:t>μετράται</w:t>
      </w:r>
      <w:proofErr w:type="spellEnd"/>
      <w:r>
        <w:rPr>
          <w:rFonts w:ascii="Comic Sans MS" w:hAnsi="Comic Sans MS"/>
          <w:color w:val="000000"/>
          <w:sz w:val="23"/>
          <w:szCs w:val="23"/>
        </w:rPr>
        <w:t xml:space="preserve"> με τη </w:t>
      </w:r>
      <w:proofErr w:type="spellStart"/>
      <w:r>
        <w:rPr>
          <w:rFonts w:ascii="Comic Sans MS" w:hAnsi="Comic Sans MS"/>
          <w:color w:val="000000"/>
          <w:sz w:val="23"/>
          <w:szCs w:val="23"/>
        </w:rPr>
        <w:t>φωτονιακή</w:t>
      </w:r>
      <w:proofErr w:type="spellEnd"/>
      <w:r>
        <w:rPr>
          <w:rFonts w:ascii="Comic Sans MS" w:hAnsi="Comic Sans MS"/>
          <w:color w:val="000000"/>
          <w:sz w:val="23"/>
          <w:szCs w:val="23"/>
        </w:rPr>
        <w:t xml:space="preserve"> </w:t>
      </w:r>
      <w:proofErr w:type="spellStart"/>
      <w:r>
        <w:rPr>
          <w:rFonts w:ascii="Comic Sans MS" w:hAnsi="Comic Sans MS"/>
          <w:color w:val="000000"/>
          <w:sz w:val="23"/>
          <w:szCs w:val="23"/>
        </w:rPr>
        <w:t>απορροφησιομετρία</w:t>
      </w:r>
      <w:proofErr w:type="spellEnd"/>
      <w:r>
        <w:rPr>
          <w:rFonts w:ascii="Comic Sans MS" w:hAnsi="Comic Sans MS"/>
          <w:color w:val="000000"/>
          <w:sz w:val="23"/>
          <w:szCs w:val="23"/>
        </w:rPr>
        <w:t xml:space="preserve"> διπλής ενεργειακής δέσμης (</w:t>
      </w:r>
      <w:proofErr w:type="spellStart"/>
      <w:r>
        <w:rPr>
          <w:rFonts w:ascii="Comic Sans MS" w:hAnsi="Comic Sans MS"/>
          <w:color w:val="000000"/>
          <w:sz w:val="23"/>
          <w:szCs w:val="23"/>
        </w:rPr>
        <w:t>Dual-energy</w:t>
      </w:r>
      <w:proofErr w:type="spellEnd"/>
      <w:r>
        <w:rPr>
          <w:rFonts w:ascii="Comic Sans MS" w:hAnsi="Comic Sans MS"/>
          <w:color w:val="000000"/>
          <w:sz w:val="23"/>
          <w:szCs w:val="23"/>
        </w:rPr>
        <w:t xml:space="preserve"> X-</w:t>
      </w:r>
      <w:proofErr w:type="spellStart"/>
      <w:r>
        <w:rPr>
          <w:rFonts w:ascii="Comic Sans MS" w:hAnsi="Comic Sans MS"/>
          <w:color w:val="000000"/>
          <w:sz w:val="23"/>
          <w:szCs w:val="23"/>
        </w:rPr>
        <w:t>ray</w:t>
      </w:r>
      <w:proofErr w:type="spellEnd"/>
      <w:r>
        <w:rPr>
          <w:rFonts w:ascii="Comic Sans MS" w:hAnsi="Comic Sans MS"/>
          <w:color w:val="000000"/>
          <w:sz w:val="23"/>
          <w:szCs w:val="23"/>
        </w:rPr>
        <w:t xml:space="preserve"> </w:t>
      </w:r>
      <w:proofErr w:type="spellStart"/>
      <w:r>
        <w:rPr>
          <w:rFonts w:ascii="Comic Sans MS" w:hAnsi="Comic Sans MS"/>
          <w:color w:val="000000"/>
          <w:sz w:val="23"/>
          <w:szCs w:val="23"/>
        </w:rPr>
        <w:t>absorptiometry</w:t>
      </w:r>
      <w:proofErr w:type="spellEnd"/>
      <w:r>
        <w:rPr>
          <w:rFonts w:ascii="Comic Sans MS" w:hAnsi="Comic Sans MS"/>
          <w:color w:val="000000"/>
          <w:sz w:val="23"/>
          <w:szCs w:val="23"/>
        </w:rPr>
        <w:t xml:space="preserve"> -DEXA), αποτελεί την καθιερωμένη μέθοδο διάγνωσης της οστεοπόρωσης και παρακολούθησης  των </w:t>
      </w:r>
      <w:proofErr w:type="spellStart"/>
      <w:r>
        <w:rPr>
          <w:rFonts w:ascii="Comic Sans MS" w:hAnsi="Comic Sans MS"/>
          <w:color w:val="000000"/>
          <w:sz w:val="23"/>
          <w:szCs w:val="23"/>
        </w:rPr>
        <w:t>οστεοπορωτικών</w:t>
      </w:r>
      <w:proofErr w:type="spellEnd"/>
      <w:r>
        <w:rPr>
          <w:rFonts w:ascii="Comic Sans MS" w:hAnsi="Comic Sans MS"/>
          <w:color w:val="000000"/>
          <w:sz w:val="23"/>
          <w:szCs w:val="23"/>
        </w:rPr>
        <w:t xml:space="preserve"> ασθενών.</w:t>
      </w:r>
    </w:p>
    <w:p w:rsidR="00583D20" w:rsidRDefault="00583D20" w:rsidP="00583D20">
      <w:pPr>
        <w:pStyle w:val="Web"/>
        <w:numPr>
          <w:ilvl w:val="0"/>
          <w:numId w:val="3"/>
        </w:numPr>
        <w:spacing w:before="0" w:beforeAutospacing="0" w:after="300" w:afterAutospacing="0" w:line="450" w:lineRule="atLeast"/>
        <w:rPr>
          <w:rFonts w:ascii="Comic Sans MS" w:hAnsi="Comic Sans MS"/>
          <w:color w:val="000000"/>
          <w:sz w:val="23"/>
          <w:szCs w:val="23"/>
        </w:rPr>
      </w:pPr>
      <w:r>
        <w:rPr>
          <w:rFonts w:ascii="Comic Sans MS" w:hAnsi="Comic Sans MS"/>
          <w:color w:val="000000"/>
          <w:sz w:val="23"/>
          <w:szCs w:val="23"/>
        </w:rPr>
        <w:t>Η μέτρηση της οστικής πυκνότητας γίνεται στην οσφυϊκή μοίρα και στο εγγύς άκρο του μηριαίου οστού.</w:t>
      </w:r>
    </w:p>
    <w:p w:rsidR="00583D20" w:rsidRDefault="00583D20" w:rsidP="00583D20">
      <w:pPr>
        <w:pStyle w:val="Web"/>
        <w:numPr>
          <w:ilvl w:val="0"/>
          <w:numId w:val="3"/>
        </w:numPr>
        <w:spacing w:before="0" w:beforeAutospacing="0" w:after="300" w:afterAutospacing="0" w:line="450" w:lineRule="atLeast"/>
        <w:rPr>
          <w:rFonts w:ascii="Comic Sans MS" w:hAnsi="Comic Sans MS"/>
          <w:color w:val="000000"/>
          <w:sz w:val="23"/>
          <w:szCs w:val="23"/>
        </w:rPr>
      </w:pPr>
      <w:r>
        <w:rPr>
          <w:rFonts w:ascii="Comic Sans MS" w:hAnsi="Comic Sans MS"/>
          <w:color w:val="000000"/>
          <w:sz w:val="23"/>
          <w:szCs w:val="23"/>
        </w:rPr>
        <w:lastRenderedPageBreak/>
        <w:t xml:space="preserve">Ωστόσο, ο γιατρός σας προκειμένου να πραγματοποιήσει μια ολοκληρωμένη αποτίμηση του προβλήματος μπορεί να χρησιμοποιήσει πιο σύνθετα  μοντέλα αξιολόγησης του </w:t>
      </w:r>
      <w:proofErr w:type="spellStart"/>
      <w:r>
        <w:rPr>
          <w:rFonts w:ascii="Comic Sans MS" w:hAnsi="Comic Sans MS"/>
          <w:color w:val="000000"/>
          <w:sz w:val="23"/>
          <w:szCs w:val="23"/>
        </w:rPr>
        <w:t>καταγματικού</w:t>
      </w:r>
      <w:proofErr w:type="spellEnd"/>
      <w:r>
        <w:rPr>
          <w:rFonts w:ascii="Comic Sans MS" w:hAnsi="Comic Sans MS"/>
          <w:color w:val="000000"/>
          <w:sz w:val="23"/>
          <w:szCs w:val="23"/>
        </w:rPr>
        <w:t xml:space="preserve"> κινδύνου τα οποία εκτός από την οστική πυκνότητα λαμβάνουν υπόψιν και τους υπόλοιπους παράγοντες κινδύνου.</w:t>
      </w:r>
    </w:p>
    <w:p w:rsidR="00583D20" w:rsidRDefault="00583D20" w:rsidP="00583D20">
      <w:pPr>
        <w:pStyle w:val="3"/>
        <w:spacing w:before="0" w:after="150"/>
        <w:rPr>
          <w:rFonts w:ascii="Comic Sans MS" w:hAnsi="Comic Sans MS"/>
          <w:color w:val="000000"/>
        </w:rPr>
      </w:pPr>
      <w:r>
        <w:rPr>
          <w:rFonts w:ascii="Comic Sans MS" w:hAnsi="Comic Sans MS"/>
          <w:color w:val="000000"/>
        </w:rPr>
        <w:t>Π</w:t>
      </w:r>
      <w:bookmarkStart w:id="0" w:name="_GoBack"/>
      <w:bookmarkEnd w:id="0"/>
      <w:r>
        <w:rPr>
          <w:rFonts w:ascii="Comic Sans MS" w:hAnsi="Comic Sans MS"/>
          <w:color w:val="000000"/>
        </w:rPr>
        <w:t>ότε πρέπει να γίνεται η μέτρηση της οστικής πυκνότητας;</w:t>
      </w:r>
    </w:p>
    <w:p w:rsidR="00583D20" w:rsidRDefault="00583D20" w:rsidP="00583D20">
      <w:pPr>
        <w:numPr>
          <w:ilvl w:val="0"/>
          <w:numId w:val="4"/>
        </w:numPr>
        <w:spacing w:before="100" w:beforeAutospacing="1" w:after="100" w:afterAutospacing="1" w:line="450" w:lineRule="atLeast"/>
        <w:rPr>
          <w:rFonts w:ascii="Comic Sans MS" w:hAnsi="Comic Sans MS"/>
          <w:color w:val="000000"/>
          <w:sz w:val="23"/>
          <w:szCs w:val="23"/>
        </w:rPr>
      </w:pPr>
      <w:r>
        <w:rPr>
          <w:rFonts w:ascii="Comic Sans MS" w:hAnsi="Comic Sans MS"/>
          <w:color w:val="000000"/>
          <w:sz w:val="23"/>
          <w:szCs w:val="23"/>
        </w:rPr>
        <w:t>Στις όλες τις γυναίκες άνω των 65, είτε εμφανίζουν είτε όχι παράγοντες κινδύνου</w:t>
      </w:r>
    </w:p>
    <w:p w:rsidR="00583D20" w:rsidRDefault="00583D20" w:rsidP="00583D20">
      <w:pPr>
        <w:numPr>
          <w:ilvl w:val="0"/>
          <w:numId w:val="4"/>
        </w:numPr>
        <w:spacing w:before="100" w:beforeAutospacing="1" w:after="100" w:afterAutospacing="1" w:line="450" w:lineRule="atLeast"/>
        <w:rPr>
          <w:rFonts w:ascii="Comic Sans MS" w:hAnsi="Comic Sans MS"/>
          <w:color w:val="000000"/>
          <w:sz w:val="23"/>
          <w:szCs w:val="23"/>
        </w:rPr>
      </w:pPr>
      <w:r>
        <w:rPr>
          <w:rFonts w:ascii="Comic Sans MS" w:hAnsi="Comic Sans MS"/>
          <w:color w:val="000000"/>
          <w:sz w:val="23"/>
          <w:szCs w:val="23"/>
        </w:rPr>
        <w:t>Σε γυναίκες και άνδρες που λαμβάνουν κορτιζόνη για μεγάλο χρονικό διάστημα</w:t>
      </w:r>
    </w:p>
    <w:p w:rsidR="00583D20" w:rsidRDefault="00583D20" w:rsidP="00583D20">
      <w:pPr>
        <w:numPr>
          <w:ilvl w:val="0"/>
          <w:numId w:val="4"/>
        </w:numPr>
        <w:spacing w:before="100" w:beforeAutospacing="1" w:after="100" w:afterAutospacing="1" w:line="450" w:lineRule="atLeast"/>
        <w:rPr>
          <w:rFonts w:ascii="Comic Sans MS" w:hAnsi="Comic Sans MS"/>
          <w:color w:val="000000"/>
          <w:sz w:val="23"/>
          <w:szCs w:val="23"/>
        </w:rPr>
      </w:pPr>
      <w:r>
        <w:rPr>
          <w:rFonts w:ascii="Comic Sans MS" w:hAnsi="Comic Sans MS"/>
          <w:color w:val="000000"/>
          <w:sz w:val="23"/>
          <w:szCs w:val="23"/>
        </w:rPr>
        <w:t>Σε ασθενείς με παραμόρφωση σπονδύλων</w:t>
      </w:r>
    </w:p>
    <w:p w:rsidR="00583D20" w:rsidRDefault="00583D20" w:rsidP="00583D20">
      <w:pPr>
        <w:numPr>
          <w:ilvl w:val="0"/>
          <w:numId w:val="4"/>
        </w:numPr>
        <w:spacing w:before="100" w:beforeAutospacing="1" w:after="100" w:afterAutospacing="1" w:line="450" w:lineRule="atLeast"/>
        <w:rPr>
          <w:rFonts w:ascii="Comic Sans MS" w:hAnsi="Comic Sans MS"/>
          <w:color w:val="000000"/>
          <w:sz w:val="23"/>
          <w:szCs w:val="23"/>
        </w:rPr>
      </w:pPr>
      <w:r>
        <w:rPr>
          <w:rFonts w:ascii="Comic Sans MS" w:hAnsi="Comic Sans MS"/>
          <w:color w:val="000000"/>
          <w:sz w:val="23"/>
          <w:szCs w:val="23"/>
        </w:rPr>
        <w:t>Σε ασθενείς που έχουν υποστεί κάταγμα</w:t>
      </w:r>
    </w:p>
    <w:p w:rsidR="00583D20" w:rsidRDefault="00583D20" w:rsidP="00583D20">
      <w:pPr>
        <w:numPr>
          <w:ilvl w:val="0"/>
          <w:numId w:val="4"/>
        </w:numPr>
        <w:spacing w:before="100" w:beforeAutospacing="1" w:after="100" w:afterAutospacing="1" w:line="450" w:lineRule="atLeast"/>
        <w:rPr>
          <w:rFonts w:ascii="Comic Sans MS" w:hAnsi="Comic Sans MS"/>
          <w:color w:val="000000"/>
          <w:sz w:val="23"/>
          <w:szCs w:val="23"/>
        </w:rPr>
      </w:pPr>
      <w:r>
        <w:rPr>
          <w:rFonts w:ascii="Comic Sans MS" w:hAnsi="Comic Sans MS"/>
          <w:color w:val="000000"/>
          <w:sz w:val="23"/>
          <w:szCs w:val="23"/>
        </w:rPr>
        <w:t>Σε όλους όσους βρίσκονται ήδη σε θεραπεία για οστεοπόρωση, προκειμένου να αξιολογηθούν τα αποτελέσματα</w:t>
      </w:r>
    </w:p>
    <w:p w:rsidR="00583D20" w:rsidRDefault="00583D20" w:rsidP="00583D20">
      <w:pPr>
        <w:pStyle w:val="2"/>
        <w:spacing w:before="0" w:beforeAutospacing="0" w:after="150" w:afterAutospacing="0"/>
        <w:rPr>
          <w:rFonts w:ascii="Comic Sans MS" w:hAnsi="Comic Sans MS"/>
          <w:color w:val="000000"/>
        </w:rPr>
      </w:pPr>
      <w:r>
        <w:rPr>
          <w:rFonts w:ascii="Comic Sans MS" w:hAnsi="Comic Sans MS"/>
          <w:color w:val="000000"/>
        </w:rPr>
        <w:t>Οστεοπόρωση – Θεραπεία &amp; Αντιμετώπιση</w:t>
      </w:r>
    </w:p>
    <w:p w:rsidR="00583D20" w:rsidRDefault="00583D20" w:rsidP="00583D20">
      <w:pPr>
        <w:pStyle w:val="Web"/>
        <w:spacing w:before="0" w:beforeAutospacing="0" w:after="300" w:afterAutospacing="0" w:line="450" w:lineRule="atLeast"/>
        <w:rPr>
          <w:rFonts w:ascii="Comic Sans MS" w:hAnsi="Comic Sans MS"/>
          <w:color w:val="000000"/>
          <w:sz w:val="23"/>
          <w:szCs w:val="23"/>
        </w:rPr>
      </w:pPr>
      <w:r>
        <w:rPr>
          <w:rFonts w:ascii="Comic Sans MS" w:hAnsi="Comic Sans MS"/>
          <w:color w:val="000000"/>
          <w:sz w:val="23"/>
          <w:szCs w:val="23"/>
        </w:rPr>
        <w:t>Με τις σύγχρονες θεραπευτικές δυνατότητες για την οστεοπόρωση μπορεί να επιτευχθεί η αναστολή της επιπλέον οστικής απώλειας, η αύξηση της οστικής μάζας και η μείωση της πιθανότητας κατάγματος.</w:t>
      </w:r>
    </w:p>
    <w:p w:rsidR="00583D20" w:rsidRDefault="00583D20" w:rsidP="00583D20">
      <w:pPr>
        <w:pStyle w:val="Web"/>
        <w:spacing w:before="0" w:beforeAutospacing="0" w:after="300" w:afterAutospacing="0" w:line="450" w:lineRule="atLeast"/>
        <w:rPr>
          <w:rFonts w:ascii="Comic Sans MS" w:hAnsi="Comic Sans MS"/>
          <w:color w:val="000000"/>
          <w:sz w:val="23"/>
          <w:szCs w:val="23"/>
        </w:rPr>
      </w:pPr>
      <w:r>
        <w:rPr>
          <w:rFonts w:ascii="Comic Sans MS" w:hAnsi="Comic Sans MS"/>
          <w:color w:val="000000"/>
          <w:sz w:val="23"/>
          <w:szCs w:val="23"/>
        </w:rPr>
        <w:t>Ανάμεσα στα φάρμακα που λαμβάνονται είναι το ασβέστιο και η βιταμίνη D.</w:t>
      </w:r>
    </w:p>
    <w:p w:rsidR="00583D20" w:rsidRDefault="00583D20" w:rsidP="00583D20">
      <w:pPr>
        <w:pStyle w:val="Web"/>
        <w:spacing w:before="0" w:beforeAutospacing="0" w:after="300" w:afterAutospacing="0" w:line="450" w:lineRule="atLeast"/>
        <w:rPr>
          <w:rFonts w:ascii="Comic Sans MS" w:hAnsi="Comic Sans MS"/>
          <w:color w:val="000000"/>
          <w:sz w:val="23"/>
          <w:szCs w:val="23"/>
        </w:rPr>
      </w:pPr>
      <w:r>
        <w:rPr>
          <w:rFonts w:ascii="Comic Sans MS" w:hAnsi="Comic Sans MS"/>
          <w:color w:val="000000"/>
          <w:sz w:val="23"/>
          <w:szCs w:val="23"/>
        </w:rPr>
        <w:t>Το θεραπευτικό πλάνο καθορίζεται από τον γιατρό, για τον κάθε ασθενή ξεχωριστά, λαμβάνοντας υπόψιν τα ιδιαίτερα χαρακτηριστικά του ανθρώπου.</w:t>
      </w:r>
    </w:p>
    <w:p w:rsidR="00583D20" w:rsidRPr="00583D20" w:rsidRDefault="00583D20" w:rsidP="00583D20">
      <w:pPr>
        <w:pStyle w:val="a3"/>
        <w:spacing w:after="300" w:line="450" w:lineRule="atLeast"/>
        <w:rPr>
          <w:rFonts w:ascii="Comic Sans MS" w:eastAsia="Times New Roman" w:hAnsi="Comic Sans MS" w:cs="Times New Roman"/>
          <w:color w:val="000000"/>
          <w:sz w:val="23"/>
          <w:szCs w:val="23"/>
          <w:lang w:eastAsia="el-GR"/>
        </w:rPr>
      </w:pPr>
    </w:p>
    <w:p w:rsidR="004C0CB9" w:rsidRDefault="004C0CB9"/>
    <w:sectPr w:rsidR="004C0C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1013"/>
    <w:multiLevelType w:val="multilevel"/>
    <w:tmpl w:val="CDF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0AA8"/>
    <w:multiLevelType w:val="multilevel"/>
    <w:tmpl w:val="1B84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C046C"/>
    <w:multiLevelType w:val="multilevel"/>
    <w:tmpl w:val="AD32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4207A"/>
    <w:multiLevelType w:val="multilevel"/>
    <w:tmpl w:val="394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20"/>
    <w:rsid w:val="00240360"/>
    <w:rsid w:val="004A40E6"/>
    <w:rsid w:val="004C0CB9"/>
    <w:rsid w:val="00583D20"/>
    <w:rsid w:val="00784F1E"/>
    <w:rsid w:val="008300AC"/>
    <w:rsid w:val="00C44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69E0"/>
  <w15:chartTrackingRefBased/>
  <w15:docId w15:val="{5A3BB131-6089-497D-8331-FA46F713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583D2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583D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83D20"/>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583D2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583D20"/>
    <w:pPr>
      <w:ind w:left="720"/>
      <w:contextualSpacing/>
    </w:pPr>
  </w:style>
  <w:style w:type="character" w:customStyle="1" w:styleId="3Char">
    <w:name w:val="Επικεφαλίδα 3 Char"/>
    <w:basedOn w:val="a0"/>
    <w:link w:val="3"/>
    <w:uiPriority w:val="9"/>
    <w:semiHidden/>
    <w:rsid w:val="00583D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96713">
      <w:bodyDiv w:val="1"/>
      <w:marLeft w:val="0"/>
      <w:marRight w:val="0"/>
      <w:marTop w:val="0"/>
      <w:marBottom w:val="0"/>
      <w:divBdr>
        <w:top w:val="none" w:sz="0" w:space="0" w:color="auto"/>
        <w:left w:val="none" w:sz="0" w:space="0" w:color="auto"/>
        <w:bottom w:val="none" w:sz="0" w:space="0" w:color="auto"/>
        <w:right w:val="none" w:sz="0" w:space="0" w:color="auto"/>
      </w:divBdr>
    </w:div>
    <w:div w:id="1329939374">
      <w:bodyDiv w:val="1"/>
      <w:marLeft w:val="0"/>
      <w:marRight w:val="0"/>
      <w:marTop w:val="0"/>
      <w:marBottom w:val="0"/>
      <w:divBdr>
        <w:top w:val="none" w:sz="0" w:space="0" w:color="auto"/>
        <w:left w:val="none" w:sz="0" w:space="0" w:color="auto"/>
        <w:bottom w:val="none" w:sz="0" w:space="0" w:color="auto"/>
        <w:right w:val="none" w:sz="0" w:space="0" w:color="auto"/>
      </w:divBdr>
    </w:div>
    <w:div w:id="1421289222">
      <w:bodyDiv w:val="1"/>
      <w:marLeft w:val="0"/>
      <w:marRight w:val="0"/>
      <w:marTop w:val="0"/>
      <w:marBottom w:val="0"/>
      <w:divBdr>
        <w:top w:val="none" w:sz="0" w:space="0" w:color="auto"/>
        <w:left w:val="none" w:sz="0" w:space="0" w:color="auto"/>
        <w:bottom w:val="none" w:sz="0" w:space="0" w:color="auto"/>
        <w:right w:val="none" w:sz="0" w:space="0" w:color="auto"/>
      </w:divBdr>
      <w:divsChild>
        <w:div w:id="1348947070">
          <w:marLeft w:val="180"/>
          <w:marRight w:val="180"/>
          <w:marTop w:val="0"/>
          <w:marBottom w:val="0"/>
          <w:divBdr>
            <w:top w:val="none" w:sz="0" w:space="0" w:color="auto"/>
            <w:left w:val="none" w:sz="0" w:space="0" w:color="auto"/>
            <w:bottom w:val="none" w:sz="0" w:space="0" w:color="auto"/>
            <w:right w:val="none" w:sz="0" w:space="0" w:color="auto"/>
          </w:divBdr>
          <w:divsChild>
            <w:div w:id="356590409">
              <w:marLeft w:val="0"/>
              <w:marRight w:val="0"/>
              <w:marTop w:val="0"/>
              <w:marBottom w:val="0"/>
              <w:divBdr>
                <w:top w:val="none" w:sz="0" w:space="0" w:color="auto"/>
                <w:left w:val="none" w:sz="0" w:space="0" w:color="auto"/>
                <w:bottom w:val="none" w:sz="0" w:space="0" w:color="auto"/>
                <w:right w:val="none" w:sz="0" w:space="0" w:color="auto"/>
              </w:divBdr>
            </w:div>
            <w:div w:id="1092701795">
              <w:marLeft w:val="0"/>
              <w:marRight w:val="0"/>
              <w:marTop w:val="0"/>
              <w:marBottom w:val="0"/>
              <w:divBdr>
                <w:top w:val="none" w:sz="0" w:space="0" w:color="auto"/>
                <w:left w:val="none" w:sz="0" w:space="0" w:color="auto"/>
                <w:bottom w:val="none" w:sz="0" w:space="0" w:color="auto"/>
                <w:right w:val="none" w:sz="0" w:space="0" w:color="auto"/>
              </w:divBdr>
            </w:div>
          </w:divsChild>
        </w:div>
        <w:div w:id="754398547">
          <w:marLeft w:val="180"/>
          <w:marRight w:val="180"/>
          <w:marTop w:val="0"/>
          <w:marBottom w:val="0"/>
          <w:divBdr>
            <w:top w:val="none" w:sz="0" w:space="0" w:color="auto"/>
            <w:left w:val="none" w:sz="0" w:space="0" w:color="auto"/>
            <w:bottom w:val="none" w:sz="0" w:space="0" w:color="auto"/>
            <w:right w:val="none" w:sz="0" w:space="0" w:color="auto"/>
          </w:divBdr>
          <w:divsChild>
            <w:div w:id="1022703477">
              <w:marLeft w:val="0"/>
              <w:marRight w:val="0"/>
              <w:marTop w:val="0"/>
              <w:marBottom w:val="0"/>
              <w:divBdr>
                <w:top w:val="none" w:sz="0" w:space="0" w:color="auto"/>
                <w:left w:val="none" w:sz="0" w:space="0" w:color="auto"/>
                <w:bottom w:val="none" w:sz="0" w:space="0" w:color="auto"/>
                <w:right w:val="none" w:sz="0" w:space="0" w:color="auto"/>
              </w:divBdr>
              <w:divsChild>
                <w:div w:id="367682675">
                  <w:marLeft w:val="0"/>
                  <w:marRight w:val="0"/>
                  <w:marTop w:val="0"/>
                  <w:marBottom w:val="0"/>
                  <w:divBdr>
                    <w:top w:val="none" w:sz="0" w:space="0" w:color="auto"/>
                    <w:left w:val="none" w:sz="0" w:space="0" w:color="auto"/>
                    <w:bottom w:val="none" w:sz="0" w:space="0" w:color="auto"/>
                    <w:right w:val="none" w:sz="0" w:space="0" w:color="auto"/>
                  </w:divBdr>
                  <w:divsChild>
                    <w:div w:id="1976178857">
                      <w:marLeft w:val="0"/>
                      <w:marRight w:val="0"/>
                      <w:marTop w:val="0"/>
                      <w:marBottom w:val="750"/>
                      <w:divBdr>
                        <w:top w:val="none" w:sz="0" w:space="0" w:color="auto"/>
                        <w:left w:val="none" w:sz="0" w:space="0" w:color="auto"/>
                        <w:bottom w:val="none" w:sz="0" w:space="0" w:color="auto"/>
                        <w:right w:val="none" w:sz="0" w:space="0" w:color="auto"/>
                      </w:divBdr>
                      <w:divsChild>
                        <w:div w:id="1479608610">
                          <w:marLeft w:val="0"/>
                          <w:marRight w:val="0"/>
                          <w:marTop w:val="0"/>
                          <w:marBottom w:val="0"/>
                          <w:divBdr>
                            <w:top w:val="none" w:sz="0" w:space="0" w:color="auto"/>
                            <w:left w:val="none" w:sz="0" w:space="0" w:color="auto"/>
                            <w:bottom w:val="none" w:sz="0" w:space="0" w:color="auto"/>
                            <w:right w:val="none" w:sz="0" w:space="0" w:color="auto"/>
                          </w:divBdr>
                          <w:divsChild>
                            <w:div w:id="889196274">
                              <w:marLeft w:val="116"/>
                              <w:marRight w:val="116"/>
                              <w:marTop w:val="0"/>
                              <w:marBottom w:val="0"/>
                              <w:divBdr>
                                <w:top w:val="none" w:sz="0" w:space="0" w:color="auto"/>
                                <w:left w:val="none" w:sz="0" w:space="0" w:color="auto"/>
                                <w:bottom w:val="none" w:sz="0" w:space="0" w:color="auto"/>
                                <w:right w:val="none" w:sz="0" w:space="0" w:color="auto"/>
                              </w:divBdr>
                              <w:divsChild>
                                <w:div w:id="1156144092">
                                  <w:marLeft w:val="114"/>
                                  <w:marRight w:val="114"/>
                                  <w:marTop w:val="0"/>
                                  <w:marBottom w:val="0"/>
                                  <w:divBdr>
                                    <w:top w:val="none" w:sz="0" w:space="0" w:color="auto"/>
                                    <w:left w:val="none" w:sz="0" w:space="0" w:color="auto"/>
                                    <w:bottom w:val="none" w:sz="0" w:space="0" w:color="auto"/>
                                    <w:right w:val="none" w:sz="0" w:space="0" w:color="auto"/>
                                  </w:divBdr>
                                  <w:divsChild>
                                    <w:div w:id="20923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146246">
      <w:bodyDiv w:val="1"/>
      <w:marLeft w:val="0"/>
      <w:marRight w:val="0"/>
      <w:marTop w:val="0"/>
      <w:marBottom w:val="0"/>
      <w:divBdr>
        <w:top w:val="none" w:sz="0" w:space="0" w:color="auto"/>
        <w:left w:val="none" w:sz="0" w:space="0" w:color="auto"/>
        <w:bottom w:val="none" w:sz="0" w:space="0" w:color="auto"/>
        <w:right w:val="none" w:sz="0" w:space="0" w:color="auto"/>
      </w:divBdr>
      <w:divsChild>
        <w:div w:id="1974291832">
          <w:marLeft w:val="0"/>
          <w:marRight w:val="0"/>
          <w:marTop w:val="0"/>
          <w:marBottom w:val="0"/>
          <w:divBdr>
            <w:top w:val="none" w:sz="0" w:space="0" w:color="auto"/>
            <w:left w:val="none" w:sz="0" w:space="0" w:color="auto"/>
            <w:bottom w:val="none" w:sz="0" w:space="0" w:color="auto"/>
            <w:right w:val="none" w:sz="0" w:space="0" w:color="auto"/>
          </w:divBdr>
          <w:divsChild>
            <w:div w:id="1026831163">
              <w:marLeft w:val="0"/>
              <w:marRight w:val="0"/>
              <w:marTop w:val="0"/>
              <w:marBottom w:val="0"/>
              <w:divBdr>
                <w:top w:val="none" w:sz="0" w:space="0" w:color="auto"/>
                <w:left w:val="none" w:sz="0" w:space="0" w:color="auto"/>
                <w:bottom w:val="none" w:sz="0" w:space="0" w:color="auto"/>
                <w:right w:val="none" w:sz="0" w:space="0" w:color="auto"/>
              </w:divBdr>
              <w:divsChild>
                <w:div w:id="1539007413">
                  <w:marLeft w:val="0"/>
                  <w:marRight w:val="0"/>
                  <w:marTop w:val="0"/>
                  <w:marBottom w:val="0"/>
                  <w:divBdr>
                    <w:top w:val="none" w:sz="0" w:space="0" w:color="auto"/>
                    <w:left w:val="none" w:sz="0" w:space="0" w:color="auto"/>
                    <w:bottom w:val="none" w:sz="0" w:space="0" w:color="auto"/>
                    <w:right w:val="none" w:sz="0" w:space="0" w:color="auto"/>
                  </w:divBdr>
                  <w:divsChild>
                    <w:div w:id="99179542">
                      <w:marLeft w:val="0"/>
                      <w:marRight w:val="0"/>
                      <w:marTop w:val="0"/>
                      <w:marBottom w:val="0"/>
                      <w:divBdr>
                        <w:top w:val="none" w:sz="0" w:space="0" w:color="auto"/>
                        <w:left w:val="none" w:sz="0" w:space="0" w:color="auto"/>
                        <w:bottom w:val="none" w:sz="0" w:space="0" w:color="auto"/>
                        <w:right w:val="none" w:sz="0" w:space="0" w:color="auto"/>
                      </w:divBdr>
                      <w:divsChild>
                        <w:div w:id="222640522">
                          <w:marLeft w:val="0"/>
                          <w:marRight w:val="0"/>
                          <w:marTop w:val="0"/>
                          <w:marBottom w:val="0"/>
                          <w:divBdr>
                            <w:top w:val="none" w:sz="0" w:space="0" w:color="auto"/>
                            <w:left w:val="none" w:sz="0" w:space="0" w:color="auto"/>
                            <w:bottom w:val="none" w:sz="0" w:space="0" w:color="auto"/>
                            <w:right w:val="none" w:sz="0" w:space="0" w:color="auto"/>
                          </w:divBdr>
                          <w:divsChild>
                            <w:div w:id="1677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04936">
          <w:marLeft w:val="0"/>
          <w:marRight w:val="0"/>
          <w:marTop w:val="0"/>
          <w:marBottom w:val="0"/>
          <w:divBdr>
            <w:top w:val="none" w:sz="0" w:space="0" w:color="auto"/>
            <w:left w:val="none" w:sz="0" w:space="0" w:color="auto"/>
            <w:bottom w:val="none" w:sz="0" w:space="0" w:color="auto"/>
            <w:right w:val="none" w:sz="0" w:space="0" w:color="auto"/>
          </w:divBdr>
          <w:divsChild>
            <w:div w:id="1007944820">
              <w:marLeft w:val="0"/>
              <w:marRight w:val="0"/>
              <w:marTop w:val="0"/>
              <w:marBottom w:val="0"/>
              <w:divBdr>
                <w:top w:val="none" w:sz="0" w:space="0" w:color="auto"/>
                <w:left w:val="none" w:sz="0" w:space="0" w:color="auto"/>
                <w:bottom w:val="none" w:sz="0" w:space="0" w:color="auto"/>
                <w:right w:val="none" w:sz="0" w:space="0" w:color="auto"/>
              </w:divBdr>
              <w:divsChild>
                <w:div w:id="1357272985">
                  <w:marLeft w:val="0"/>
                  <w:marRight w:val="0"/>
                  <w:marTop w:val="0"/>
                  <w:marBottom w:val="0"/>
                  <w:divBdr>
                    <w:top w:val="none" w:sz="0" w:space="0" w:color="auto"/>
                    <w:left w:val="none" w:sz="0" w:space="0" w:color="auto"/>
                    <w:bottom w:val="none" w:sz="0" w:space="0" w:color="auto"/>
                    <w:right w:val="none" w:sz="0" w:space="0" w:color="auto"/>
                  </w:divBdr>
                  <w:divsChild>
                    <w:div w:id="109128068">
                      <w:marLeft w:val="0"/>
                      <w:marRight w:val="0"/>
                      <w:marTop w:val="0"/>
                      <w:marBottom w:val="0"/>
                      <w:divBdr>
                        <w:top w:val="none" w:sz="0" w:space="0" w:color="auto"/>
                        <w:left w:val="none" w:sz="0" w:space="0" w:color="auto"/>
                        <w:bottom w:val="none" w:sz="0" w:space="0" w:color="auto"/>
                        <w:right w:val="none" w:sz="0" w:space="0" w:color="auto"/>
                      </w:divBdr>
                      <w:divsChild>
                        <w:div w:id="2091733088">
                          <w:marLeft w:val="0"/>
                          <w:marRight w:val="0"/>
                          <w:marTop w:val="0"/>
                          <w:marBottom w:val="0"/>
                          <w:divBdr>
                            <w:top w:val="none" w:sz="0" w:space="0" w:color="auto"/>
                            <w:left w:val="none" w:sz="0" w:space="0" w:color="auto"/>
                            <w:bottom w:val="none" w:sz="0" w:space="0" w:color="auto"/>
                            <w:right w:val="none" w:sz="0" w:space="0" w:color="auto"/>
                          </w:divBdr>
                          <w:divsChild>
                            <w:div w:id="5830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665</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2024-04-11T18:59:00Z</dcterms:created>
  <dcterms:modified xsi:type="dcterms:W3CDTF">2024-04-11T19:03:00Z</dcterms:modified>
</cp:coreProperties>
</file>